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0"/>
        <w:gridCol w:w="3900"/>
        <w:gridCol w:w="270"/>
        <w:gridCol w:w="285"/>
        <w:gridCol w:w="4185"/>
        <w:gridCol w:w="225"/>
        <w:tblGridChange w:id="0">
          <w:tblGrid>
            <w:gridCol w:w="210"/>
            <w:gridCol w:w="3900"/>
            <w:gridCol w:w="270"/>
            <w:gridCol w:w="285"/>
            <w:gridCol w:w="4185"/>
            <w:gridCol w:w="225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vMerge w:val="restart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0f1f3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6"/>
                <w:szCs w:val="26"/>
                <w:rtl w:val="0"/>
              </w:rPr>
              <w:t xml:space="preserve">CAR Framework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140f4e"/>
                <w:sz w:val="20"/>
                <w:szCs w:val="20"/>
                <w:rtl w:val="0"/>
              </w:rPr>
              <w:t xml:space="preserve">(Challenge → Action → Result)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Core Structure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Fill-in-the-Blank Prompts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Challenge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The obstacle or KPI lag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C: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“ _______ was under-performing by _______.”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Action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Your contributions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A: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“I __________________________________ with 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Result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Tangible change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R: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“ improved from ___________ to ___________.”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Best used for:</w:t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Portfolio pieces where you had limited influence over scope (e.g. group hackathons)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Quick Example</w:t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“Checkout drop-off was 54%. I mapped the flow and removed two fields; drop-off fell to 32%.”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