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900"/>
        <w:gridCol w:w="270"/>
        <w:gridCol w:w="285"/>
        <w:gridCol w:w="4185"/>
        <w:gridCol w:w="225"/>
        <w:tblGridChange w:id="0">
          <w:tblGrid>
            <w:gridCol w:w="3900"/>
            <w:gridCol w:w="270"/>
            <w:gridCol w:w="285"/>
            <w:gridCol w:w="4185"/>
            <w:gridCol w:w="225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gridSpan w:val="4"/>
            <w:tcBorders>
              <w:top w:color="f0f1f3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6"/>
                <w:szCs w:val="26"/>
                <w:rtl w:val="0"/>
              </w:rPr>
              <w:t xml:space="preserve">STAR Framework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140f4e"/>
                <w:sz w:val="20"/>
                <w:szCs w:val="20"/>
                <w:rtl w:val="0"/>
              </w:rPr>
              <w:t xml:space="preserve">(Situation → Task → Action → Result)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Core Structure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Fill-in-the-Blank Prompts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Situation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Context &amp; pain point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S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: “Users were _________ because __________.”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Task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Your specific goal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T: “I needed to ____________ within __________.”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Action 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– What you did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A: “I ________________ by __________________.”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Result 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– Measurable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R: “This led to _____________________ (metric).”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Best used for: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Short projects or single-feature wins where you own most of the 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Quick Example</w:t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“30% of new users quit step 3. I had two weeks to raise completion. I rewrote the micro-copy and added progress dots, lifting completion to 68%.”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