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360.000000000002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04.39024390243907"/>
        <w:gridCol w:w="317.07317073170736"/>
        <w:gridCol w:w="4083.902439024391"/>
        <w:gridCol w:w="4654.634146341464"/>
        <w:tblGridChange w:id="0">
          <w:tblGrid>
            <w:gridCol w:w="304.39024390243907"/>
            <w:gridCol w:w="317.07317073170736"/>
            <w:gridCol w:w="4083.902439024391"/>
            <w:gridCol w:w="4654.634146341464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0f1f3" w:space="0" w:sz="6" w:val="single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0f1f3" w:space="0" w:sz="6" w:val="single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0f1f3" w:space="0" w:sz="6" w:val="single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f0f1f3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f0f1f3" w:space="0" w:sz="6" w:val="single"/>
            </w:tcBorders>
            <w:shd w:fill="f0f1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40f4e"/>
                <w:sz w:val="26"/>
                <w:szCs w:val="26"/>
                <w:rtl w:val="0"/>
              </w:rPr>
              <w:t xml:space="preserve">Common Pitfalls &amp; Quick Fixes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0f1f3" w:space="0" w:sz="6" w:val="single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0f1f3" w:space="0" w:sz="6" w:val="single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widowControl w:val="0"/>
              <w:rPr>
                <w:rFonts w:ascii="Roboto" w:cs="Roboto" w:eastAsia="Roboto" w:hAnsi="Roboto"/>
                <w:b w:val="1"/>
                <w:bCs w:val="1"/>
                <w:color w:val="140f4e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40f4e"/>
                <w:sz w:val="20"/>
                <w:szCs w:val="20"/>
                <w:rtl w:val="0"/>
              </w:rPr>
              <w:t xml:space="preserve">Pitfall</w:t>
            </w:r>
          </w:p>
          <w:p w:rsidR="00000000" w:rsidDel="00000000" w:rsidP="00000000" w:rsidRDefault="00000000" w:rsidRPr="00000000" w14:paraId="0000000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(What often goes wrong)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0f1f3" w:space="0" w:sz="6" w:val="single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widowControl w:val="0"/>
              <w:rPr>
                <w:rFonts w:ascii="Roboto" w:cs="Roboto" w:eastAsia="Roboto" w:hAnsi="Roboto"/>
                <w:b w:val="1"/>
                <w:bCs w:val="1"/>
                <w:color w:val="140f4e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40f4e"/>
                <w:sz w:val="20"/>
                <w:szCs w:val="20"/>
                <w:rtl w:val="0"/>
              </w:rPr>
              <w:t xml:space="preserve">10-Minute Quick Fix</w:t>
            </w:r>
          </w:p>
          <w:p w:rsidR="00000000" w:rsidDel="00000000" w:rsidP="00000000" w:rsidRDefault="00000000" w:rsidRPr="00000000" w14:paraId="0000000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(How to fix it fast)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f0f1f3" w:space="0" w:sz="6" w:val="single"/>
              <w:right w:color="f0f1f3" w:space="0" w:sz="6" w:val="single"/>
            </w:tcBorders>
            <w:shd w:fill="f0f1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40f4e"/>
                <w:rtl w:val="0"/>
              </w:rPr>
              <w:t xml:space="preserve">Strategy &amp; Story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0f1f3" w:space="0" w:sz="6" w:val="single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0f1f3" w:space="0" w:sz="6" w:val="single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40f4e"/>
                <w:sz w:val="20"/>
                <w:szCs w:val="20"/>
                <w:rtl w:val="0"/>
              </w:rPr>
              <w:t xml:space="preserve">“Kitchen-sink” portfolio</w:t>
            </w: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 – Five-plus case studies with overlapping skills.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0f1f3" w:space="0" w:sz="6" w:val="single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Pick your top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40f4e"/>
                <w:sz w:val="20"/>
                <w:szCs w:val="20"/>
                <w:rtl w:val="0"/>
              </w:rPr>
              <w:t xml:space="preserve">2-3</w:t>
            </w: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 projects using the Project-Selection Matrix; hide the rest in an “Archive” folder.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0f1f3" w:space="0" w:sz="6" w:val="single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0f1f3" w:space="0" w:sz="6" w:val="single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40f4e"/>
                <w:sz w:val="20"/>
                <w:szCs w:val="20"/>
                <w:rtl w:val="0"/>
              </w:rPr>
              <w:t xml:space="preserve">Vague problem statement</w:t>
            </w: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 – No metric or user pain.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0f1f3" w:space="0" w:sz="6" w:val="single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Add one data point (e.g., “5 of 8 testers hesitated at step 3”) from usability testing, interviews, support logs, or analytics if you have access.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0f1f3" w:space="0" w:sz="6" w:val="single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0f1f3" w:space="0" w:sz="6" w:val="single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40f4e"/>
                <w:sz w:val="20"/>
                <w:szCs w:val="20"/>
                <w:rtl w:val="0"/>
              </w:rPr>
              <w:t xml:space="preserve">Wall-of-text intro</w:t>
            </w: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 – Recruiters can’t skim.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0f1f3" w:space="0" w:sz="6" w:val="single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Nova Mono" w:cs="Nova Mono" w:eastAsia="Nova Mono" w:hAnsi="Nova Mono"/>
                <w:color w:val="140f4e"/>
                <w:sz w:val="20"/>
                <w:szCs w:val="20"/>
                <w:rtl w:val="0"/>
              </w:rPr>
              <w:t xml:space="preserve">Convert the first paragraph into a single “Project Snapshot” sentence (≤ 25 words) + 3 bullet points.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f0f1f3" w:space="0" w:sz="6" w:val="single"/>
              <w:right w:color="f0f1f3" w:space="0" w:sz="6" w:val="single"/>
            </w:tcBorders>
            <w:shd w:fill="f0f1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40f4e"/>
                <w:rtl w:val="0"/>
              </w:rPr>
              <w:t xml:space="preserve">Research &amp; Evidence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0f1f3" w:space="0" w:sz="6" w:val="single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0f1f3" w:space="0" w:sz="6" w:val="single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40f4e"/>
                <w:sz w:val="20"/>
                <w:szCs w:val="20"/>
                <w:rtl w:val="0"/>
              </w:rPr>
              <w:t xml:space="preserve">Method laundry list</w:t>
            </w: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 – “We did surveys, interviews, personas…” with no insight.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0f1f3" w:space="0" w:sz="6" w:val="single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For each method, write a one-line finding starting “We learned that …”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0f1f3" w:space="0" w:sz="6" w:val="single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0f1f3" w:space="0" w:sz="6" w:val="single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40f4e"/>
                <w:sz w:val="20"/>
                <w:szCs w:val="20"/>
                <w:rtl w:val="0"/>
              </w:rPr>
              <w:t xml:space="preserve">Impact claim without proof </w:t>
            </w: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– “Improved engagement” but no graph.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0f1f3" w:space="0" w:sz="6" w:val="single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Add one data point (e.g., “5 of 8 testers hesitated at step 3”) from usability testing, interviews, support logs, or analytics if you have access.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f0f1f3" w:space="0" w:sz="6" w:val="single"/>
              <w:right w:color="f0f1f3" w:space="0" w:sz="6" w:val="single"/>
            </w:tcBorders>
            <w:shd w:fill="f0f1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40f4e"/>
                <w:rtl w:val="0"/>
              </w:rPr>
              <w:t xml:space="preserve">Process &amp; Collaboration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0f1f3" w:space="0" w:sz="6" w:val="single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0f1f3" w:space="0" w:sz="6" w:val="single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40f4e"/>
                <w:sz w:val="20"/>
                <w:szCs w:val="20"/>
                <w:rtl w:val="0"/>
              </w:rPr>
              <w:t xml:space="preserve">Missing trade-offs</w:t>
            </w: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 – Looks like a straight line from idea to solution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0f1f3" w:space="0" w:sz="6" w:val="single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Insert a screenshot of a discarded concept and a 30-word note on why it was rejected.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0f1f3" w:space="0" w:sz="6" w:val="single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0f1f3" w:space="0" w:sz="6" w:val="single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40f4e"/>
                <w:sz w:val="20"/>
                <w:szCs w:val="20"/>
                <w:rtl w:val="0"/>
              </w:rPr>
              <w:t xml:space="preserve">Lone-wolf narrative</w:t>
            </w: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 – No mention of engineers or PMs.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0f1f3" w:space="0" w:sz="6" w:val="single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Add a bullet: “Collaborated with PM + 2 devs; held weekly design-dev syncs.”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f0f1f3" w:space="0" w:sz="6" w:val="single"/>
              <w:right w:color="f0f1f3" w:space="0" w:sz="6" w:val="single"/>
            </w:tcBorders>
            <w:shd w:fill="f0f1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40f4e"/>
                <w:rtl w:val="0"/>
              </w:rPr>
              <w:t xml:space="preserve">Solutions &amp; Visuals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0f1f3" w:space="0" w:sz="6" w:val="single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0f1f3" w:space="0" w:sz="6" w:val="single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40f4e"/>
                <w:sz w:val="20"/>
                <w:szCs w:val="20"/>
                <w:rtl w:val="0"/>
              </w:rPr>
              <w:t xml:space="preserve">Inconsistent typography/grid </w:t>
            </w: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– Feels unpolished.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0f1f3" w:space="0" w:sz="6" w:val="single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Apply an 8-pt grid and a consistent type scale across screens; re-export.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0f1f3" w:space="0" w:sz="6" w:val="single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0f1f3" w:space="0" w:sz="6" w:val="single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40f4e"/>
                <w:sz w:val="20"/>
                <w:szCs w:val="20"/>
                <w:rtl w:val="0"/>
              </w:rPr>
              <w:t xml:space="preserve">Low-contrast UI </w:t>
            </w: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– Fails accessibility check.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0f1f3" w:space="0" w:sz="6" w:val="single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Run an accessibility checker on a key screen; adjust colours until contrast is at least 4.5 : 1.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f0f1f3" w:space="0" w:sz="6" w:val="single"/>
              <w:right w:color="f0f1f3" w:space="0" w:sz="6" w:val="single"/>
            </w:tcBorders>
            <w:shd w:fill="f0f1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40f4e"/>
                <w:rtl w:val="0"/>
              </w:rPr>
              <w:t xml:space="preserve">Solutions &amp; Visuals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0f1f3" w:space="0" w:sz="6" w:val="single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0f1f3" w:space="0" w:sz="6" w:val="single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40f4e"/>
                <w:sz w:val="20"/>
                <w:szCs w:val="20"/>
                <w:rtl w:val="0"/>
              </w:rPr>
              <w:t xml:space="preserve">No reflection</w:t>
            </w: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 – Ends abruptly after results section.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0f1f3" w:space="0" w:sz="6" w:val="single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Add a 50-word “What I’d Improve Next” note + one forward action (e.g., A/B test alt variation)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va Mono">
    <w:embedRegular w:fontKey="{00000000-0000-0000-0000-000000000000}" r:id="rId5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NovaMono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